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3CB41" w14:textId="2D95185C" w:rsidR="00CA6796" w:rsidRPr="00A87A06" w:rsidRDefault="00CA6796" w:rsidP="00E030DF">
      <w:pPr>
        <w:spacing w:before="120" w:after="120" w:line="360" w:lineRule="auto"/>
        <w:rPr>
          <w:rFonts w:ascii="Arial" w:hAnsi="Arial" w:cs="Arial"/>
          <w:bCs/>
          <w:sz w:val="28"/>
          <w:szCs w:val="28"/>
        </w:rPr>
      </w:pPr>
      <w:bookmarkStart w:id="0" w:name="_GoBack"/>
      <w:bookmarkEnd w:id="0"/>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6C26E6D7" w14:textId="30B5302E" w:rsidR="00C94D28" w:rsidRDefault="00B110C4" w:rsidP="00E030DF">
      <w:pPr>
        <w:spacing w:before="120" w:after="120" w:line="360" w:lineRule="auto"/>
        <w:rPr>
          <w:rFonts w:ascii="Arial" w:hAnsi="Arial" w:cs="Arial"/>
          <w:bCs/>
          <w:sz w:val="22"/>
          <w:szCs w:val="22"/>
        </w:rPr>
      </w:pPr>
      <w:r>
        <w:rPr>
          <w:rFonts w:ascii="Arial" w:hAnsi="Arial" w:cs="Arial"/>
          <w:bCs/>
          <w:sz w:val="22"/>
          <w:szCs w:val="22"/>
        </w:rPr>
        <w:t>The external CCTV system is owned and operated by Yelvertoft Village Hall, where we hire our pre-school room. There is no CCTV inside the building.</w:t>
      </w:r>
      <w:r w:rsidR="00C94D28">
        <w:rPr>
          <w:rFonts w:ascii="Arial" w:hAnsi="Arial" w:cs="Arial"/>
          <w:bCs/>
          <w:sz w:val="22"/>
          <w:szCs w:val="22"/>
        </w:rPr>
        <w:t xml:space="preserve"> </w:t>
      </w:r>
    </w:p>
    <w:p w14:paraId="3F5A335D" w14:textId="40A4F428"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w:t>
      </w:r>
      <w:r w:rsidR="00014850">
        <w:rPr>
          <w:rFonts w:ascii="Arial" w:hAnsi="Arial" w:cs="Arial"/>
          <w:bCs/>
          <w:sz w:val="22"/>
          <w:szCs w:val="22"/>
        </w:rPr>
        <w:t>the Village Hall and all its users and visitors.</w:t>
      </w:r>
      <w:r w:rsidRPr="00ED18A2">
        <w:rPr>
          <w:rFonts w:ascii="Arial" w:hAnsi="Arial" w:cs="Arial"/>
          <w:bCs/>
          <w:sz w:val="22"/>
          <w:szCs w:val="22"/>
        </w:rPr>
        <w:t xml:space="preserve">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4B833B0F"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The purpose will be to further support the perception of the safety</w:t>
      </w:r>
      <w:r w:rsidR="00C94D28">
        <w:rPr>
          <w:rFonts w:ascii="Arial" w:hAnsi="Arial" w:cs="Arial"/>
          <w:bCs/>
          <w:sz w:val="22"/>
          <w:szCs w:val="22"/>
        </w:rPr>
        <w:t xml:space="preserve"> of all </w:t>
      </w:r>
      <w:r w:rsidR="000F060A">
        <w:rPr>
          <w:rFonts w:ascii="Arial" w:hAnsi="Arial" w:cs="Arial"/>
          <w:bCs/>
          <w:sz w:val="22"/>
          <w:szCs w:val="22"/>
        </w:rPr>
        <w:t xml:space="preserve">Village Hall </w:t>
      </w:r>
      <w:r w:rsidR="00C94D28">
        <w:rPr>
          <w:rFonts w:ascii="Arial" w:hAnsi="Arial" w:cs="Arial"/>
          <w:bCs/>
          <w:sz w:val="22"/>
          <w:szCs w:val="22"/>
        </w:rPr>
        <w:t>users and visitors</w:t>
      </w:r>
      <w:r w:rsidR="00014850">
        <w:rPr>
          <w:rFonts w:ascii="Arial" w:hAnsi="Arial" w:cs="Arial"/>
          <w:bCs/>
          <w:sz w:val="22"/>
          <w:szCs w:val="22"/>
        </w:rPr>
        <w:t>,</w:t>
      </w:r>
      <w:r w:rsidRPr="00ED18A2">
        <w:rPr>
          <w:rFonts w:ascii="Arial" w:hAnsi="Arial" w:cs="Arial"/>
          <w:bCs/>
          <w:sz w:val="22"/>
          <w:szCs w:val="22"/>
        </w:rPr>
        <w:t xml:space="preserve"> </w:t>
      </w:r>
      <w:r w:rsidR="00014850">
        <w:rPr>
          <w:rFonts w:ascii="Arial" w:hAnsi="Arial" w:cs="Arial"/>
          <w:bCs/>
          <w:sz w:val="22"/>
          <w:szCs w:val="22"/>
        </w:rPr>
        <w:t>to protect the Village Hall</w:t>
      </w:r>
      <w:r w:rsidRPr="00ED18A2">
        <w:rPr>
          <w:rFonts w:ascii="Arial" w:hAnsi="Arial" w:cs="Arial"/>
          <w:bCs/>
          <w:sz w:val="22"/>
          <w:szCs w:val="22"/>
        </w:rPr>
        <w:t xml:space="preserve">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w:t>
      </w:r>
      <w:r w:rsidR="00C94D28">
        <w:rPr>
          <w:rFonts w:ascii="Arial" w:hAnsi="Arial" w:cs="Arial"/>
          <w:bCs/>
          <w:sz w:val="22"/>
          <w:szCs w:val="22"/>
        </w:rPr>
        <w:t>is not reviewed by persons</w:t>
      </w:r>
      <w:r w:rsidRPr="00ED18A2">
        <w:rPr>
          <w:rFonts w:ascii="Arial" w:hAnsi="Arial" w:cs="Arial"/>
          <w:bCs/>
          <w:sz w:val="22"/>
          <w:szCs w:val="22"/>
        </w:rPr>
        <w:t xml:space="preserve">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 use of a surveillance camera system must take into account its effect on individuals and their privacy, with regular reviews to ensure its use remains justified.</w:t>
      </w:r>
    </w:p>
    <w:p w14:paraId="4C6CB396" w14:textId="47CBE75A"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w:t>
      </w:r>
      <w:r w:rsidR="000F060A">
        <w:rPr>
          <w:rFonts w:ascii="Arial" w:hAnsi="Arial" w:cs="Arial"/>
          <w:bCs/>
          <w:sz w:val="22"/>
          <w:szCs w:val="22"/>
        </w:rPr>
        <w:t xml:space="preserve">the external </w:t>
      </w:r>
      <w:r w:rsidRPr="00ED18A2">
        <w:rPr>
          <w:rFonts w:ascii="Arial" w:hAnsi="Arial" w:cs="Arial"/>
          <w:bCs/>
          <w:sz w:val="22"/>
          <w:szCs w:val="22"/>
        </w:rPr>
        <w:t xml:space="preserve">public areas of the setting i.e. </w:t>
      </w:r>
      <w:r w:rsidR="00014850">
        <w:rPr>
          <w:rFonts w:ascii="Arial" w:hAnsi="Arial" w:cs="Arial"/>
          <w:bCs/>
          <w:sz w:val="22"/>
          <w:szCs w:val="22"/>
        </w:rPr>
        <w:t>car park</w:t>
      </w:r>
      <w:r w:rsidR="00C94D28">
        <w:rPr>
          <w:rFonts w:ascii="Arial" w:hAnsi="Arial" w:cs="Arial"/>
          <w:bCs/>
          <w:sz w:val="22"/>
          <w:szCs w:val="22"/>
        </w:rPr>
        <w:t>, play park</w:t>
      </w:r>
      <w:r w:rsidR="00014850">
        <w:rPr>
          <w:rFonts w:ascii="Arial" w:hAnsi="Arial" w:cs="Arial"/>
          <w:bCs/>
          <w:sz w:val="22"/>
          <w:szCs w:val="22"/>
        </w:rPr>
        <w:t xml:space="preserve"> and </w:t>
      </w:r>
      <w:r w:rsidR="00C94D28">
        <w:rPr>
          <w:rFonts w:ascii="Arial" w:hAnsi="Arial" w:cs="Arial"/>
          <w:bCs/>
          <w:sz w:val="22"/>
          <w:szCs w:val="22"/>
        </w:rPr>
        <w:t xml:space="preserve">pre-school </w:t>
      </w:r>
      <w:r w:rsidR="00014850">
        <w:rPr>
          <w:rFonts w:ascii="Arial" w:hAnsi="Arial" w:cs="Arial"/>
          <w:bCs/>
          <w:sz w:val="22"/>
          <w:szCs w:val="22"/>
        </w:rPr>
        <w:t>garden area.</w:t>
      </w:r>
      <w:r w:rsidRPr="00ED18A2">
        <w:rPr>
          <w:rFonts w:ascii="Arial" w:hAnsi="Arial" w:cs="Arial"/>
          <w:bCs/>
          <w:sz w:val="22"/>
          <w:szCs w:val="22"/>
        </w:rPr>
        <w:t xml:space="preserve"> </w:t>
      </w:r>
    </w:p>
    <w:p w14:paraId="0242F070" w14:textId="6C5B65BE" w:rsidR="00F42EBC" w:rsidRPr="00C94D28" w:rsidRDefault="00F42EBC" w:rsidP="00C94D28">
      <w:pPr>
        <w:pStyle w:val="ListParagraph"/>
        <w:numPr>
          <w:ilvl w:val="0"/>
          <w:numId w:val="61"/>
        </w:numPr>
        <w:spacing w:before="120" w:after="120" w:line="360" w:lineRule="auto"/>
        <w:contextualSpacing w:val="0"/>
        <w:rPr>
          <w:rFonts w:ascii="Arial" w:hAnsi="Arial" w:cs="Arial"/>
          <w:bCs/>
          <w:sz w:val="22"/>
          <w:szCs w:val="22"/>
        </w:rPr>
      </w:pPr>
      <w:r w:rsidRPr="00C94D28">
        <w:rPr>
          <w:rFonts w:ascii="Arial" w:hAnsi="Arial" w:cs="Arial"/>
          <w:bCs/>
          <w:sz w:val="22"/>
          <w:szCs w:val="22"/>
        </w:rPr>
        <w:t>There are signs clearly displayed for staff, parents and visitors, informing them that CCTV is in operation and that they may be recorded</w:t>
      </w:r>
      <w:r w:rsidR="00C94D28">
        <w:rPr>
          <w:rFonts w:ascii="Arial" w:hAnsi="Arial" w:cs="Arial"/>
          <w:bCs/>
          <w:sz w:val="22"/>
          <w:szCs w:val="22"/>
        </w:rPr>
        <w:t xml:space="preserve"> outside the building</w:t>
      </w:r>
      <w:r w:rsidRPr="00C94D28">
        <w:rPr>
          <w:rFonts w:ascii="Arial" w:hAnsi="Arial" w:cs="Arial"/>
          <w:bCs/>
          <w:sz w:val="22"/>
          <w:szCs w:val="22"/>
        </w:rPr>
        <w:t xml:space="preserve">. The procedure is displayed for staff, visitors and parents. Complaints relating to the use of CCTV should be discussed with the setting manager in the first instance following </w:t>
      </w:r>
      <w:r w:rsidR="006A6B4E" w:rsidRPr="00C94D28">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clear responsibility and accountability for all surveillance camera system activities including images and information collected, held and used.</w:t>
      </w:r>
    </w:p>
    <w:p w14:paraId="76E6DA6F" w14:textId="2E41FB1D" w:rsidR="00EC274C" w:rsidRPr="00EC274C" w:rsidRDefault="003E5356" w:rsidP="00EC274C">
      <w:pPr>
        <w:spacing w:before="120" w:after="120" w:line="360" w:lineRule="auto"/>
        <w:ind w:left="360"/>
        <w:rPr>
          <w:rFonts w:ascii="Arial" w:hAnsi="Arial" w:cs="Arial"/>
          <w:bCs/>
          <w:sz w:val="22"/>
          <w:szCs w:val="22"/>
        </w:rPr>
      </w:pPr>
      <w:r>
        <w:rPr>
          <w:rFonts w:ascii="Arial" w:hAnsi="Arial" w:cs="Arial"/>
          <w:bCs/>
          <w:sz w:val="22"/>
          <w:szCs w:val="22"/>
        </w:rPr>
        <w:t>The Village Hall premises</w:t>
      </w:r>
      <w:r w:rsidR="00F42EBC" w:rsidRPr="00ED18A2">
        <w:rPr>
          <w:rFonts w:ascii="Arial" w:hAnsi="Arial" w:cs="Arial"/>
          <w:bCs/>
          <w:sz w:val="22"/>
          <w:szCs w:val="22"/>
        </w:rPr>
        <w:t xml:space="preserve"> manager is responsible for the day-to-day management of the CCTV system. Images are stored on the system for up to 4 weeks and are then automatically recorded over. Images are not routinely scrutinised unless there is a</w:t>
      </w:r>
      <w:r>
        <w:rPr>
          <w:rFonts w:ascii="Arial" w:hAnsi="Arial" w:cs="Arial"/>
          <w:bCs/>
          <w:sz w:val="22"/>
          <w:szCs w:val="22"/>
        </w:rPr>
        <w:t xml:space="preserve"> legitimate reason to do so.</w:t>
      </w:r>
    </w:p>
    <w:p w14:paraId="2D403116" w14:textId="78931301" w:rsidR="00EC274C" w:rsidRPr="00EC274C" w:rsidRDefault="00EC274C" w:rsidP="00EC274C">
      <w:pPr>
        <w:pStyle w:val="ListParagraph"/>
        <w:numPr>
          <w:ilvl w:val="0"/>
          <w:numId w:val="61"/>
        </w:numPr>
        <w:spacing w:before="120" w:after="120" w:line="360" w:lineRule="auto"/>
        <w:contextualSpacing w:val="0"/>
        <w:rPr>
          <w:rFonts w:ascii="Arial" w:hAnsi="Arial" w:cs="Arial"/>
          <w:bCs/>
          <w:sz w:val="22"/>
          <w:szCs w:val="22"/>
        </w:rPr>
      </w:pPr>
      <w:r w:rsidRPr="00EC274C">
        <w:rPr>
          <w:rFonts w:ascii="Arial" w:hAnsi="Arial" w:cs="Arial"/>
          <w:bCs/>
          <w:sz w:val="22"/>
          <w:szCs w:val="22"/>
        </w:rPr>
        <w:t>Clear rules, policies and procedures must be in place before a surveillance camera system is used, and these must be communicated with all who need to comply with them.</w:t>
      </w:r>
      <w:r>
        <w:rPr>
          <w:rFonts w:ascii="Arial" w:hAnsi="Arial" w:cs="Arial"/>
          <w:bCs/>
          <w:sz w:val="22"/>
          <w:szCs w:val="22"/>
        </w:rPr>
        <w:t xml:space="preserve"> </w:t>
      </w:r>
      <w:r w:rsidRPr="00EC274C">
        <w:rPr>
          <w:rFonts w:ascii="Arial" w:hAnsi="Arial" w:cs="Arial"/>
          <w:bCs/>
          <w:sz w:val="22"/>
          <w:szCs w:val="22"/>
        </w:rPr>
        <w:t>The Village Hall committee are registered with the Information Commissioners Office</w:t>
      </w:r>
      <w:r>
        <w:rPr>
          <w:rFonts w:ascii="Arial" w:hAnsi="Arial" w:cs="Arial"/>
          <w:bCs/>
          <w:sz w:val="22"/>
          <w:szCs w:val="22"/>
        </w:rPr>
        <w:t xml:space="preserve"> (ICO)</w:t>
      </w:r>
      <w:r w:rsidRPr="00EC274C">
        <w:rPr>
          <w:rFonts w:ascii="Arial" w:hAnsi="Arial" w:cs="Arial"/>
          <w:bCs/>
          <w:sz w:val="22"/>
          <w:szCs w:val="22"/>
        </w:rPr>
        <w:t xml:space="preserve"> which regulates their use of the equipment and recommends best practice. Their separate </w:t>
      </w:r>
      <w:hyperlink r:id="rId11" w:tgtFrame="_blank" w:history="1">
        <w:r w:rsidRPr="00EC274C">
          <w:rPr>
            <w:rStyle w:val="Hyperlink"/>
            <w:rFonts w:ascii="Arial" w:hAnsi="Arial" w:cs="Arial"/>
            <w:bCs/>
            <w:color w:val="auto"/>
            <w:sz w:val="22"/>
            <w:szCs w:val="22"/>
            <w:u w:val="none"/>
          </w:rPr>
          <w:t>Data Protection Policy and Procedures</w:t>
        </w:r>
      </w:hyperlink>
      <w:r w:rsidRPr="00EC274C">
        <w:rPr>
          <w:rFonts w:ascii="Arial" w:hAnsi="Arial" w:cs="Arial"/>
          <w:bCs/>
          <w:sz w:val="22"/>
          <w:szCs w:val="22"/>
        </w:rPr>
        <w:t xml:space="preserve"> is available </w:t>
      </w:r>
      <w:r>
        <w:rPr>
          <w:rFonts w:ascii="Arial" w:hAnsi="Arial" w:cs="Arial"/>
          <w:bCs/>
          <w:sz w:val="22"/>
          <w:szCs w:val="22"/>
        </w:rPr>
        <w:t xml:space="preserve">from their website: </w:t>
      </w:r>
      <w:hyperlink r:id="rId12" w:history="1">
        <w:r w:rsidRPr="0090579F">
          <w:rPr>
            <w:rStyle w:val="Hyperlink"/>
            <w:rFonts w:ascii="Arial" w:hAnsi="Arial" w:cs="Arial"/>
            <w:bCs/>
            <w:sz w:val="22"/>
            <w:szCs w:val="22"/>
          </w:rPr>
          <w:t>www.yelvertoftvillagehall.co.uk/terms-conditions-policies</w:t>
        </w:r>
      </w:hyperlink>
      <w:r w:rsidR="000F060A">
        <w:rPr>
          <w:rFonts w:ascii="Arial" w:hAnsi="Arial" w:cs="Arial"/>
          <w:bCs/>
          <w:sz w:val="22"/>
          <w:szCs w:val="22"/>
        </w:rPr>
        <w:t xml:space="preserve">  and as an appendices to this policy. </w:t>
      </w:r>
    </w:p>
    <w:p w14:paraId="55BB90EC" w14:textId="77777777" w:rsidR="00EC274C" w:rsidRPr="00EC274C" w:rsidRDefault="00EC274C" w:rsidP="00EC274C">
      <w:pPr>
        <w:pStyle w:val="ListParagraph"/>
        <w:spacing w:before="120" w:after="120" w:line="360" w:lineRule="auto"/>
        <w:ind w:left="360"/>
        <w:contextualSpacing w:val="0"/>
        <w:rPr>
          <w:rFonts w:ascii="Arial" w:hAnsi="Arial" w:cs="Arial"/>
          <w:bCs/>
          <w:sz w:val="22"/>
          <w:szCs w:val="22"/>
        </w:rPr>
      </w:pP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3"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D2F1" w14:textId="77777777" w:rsidR="00F31E39" w:rsidRDefault="00F31E39">
      <w:r>
        <w:separator/>
      </w:r>
    </w:p>
  </w:endnote>
  <w:endnote w:type="continuationSeparator" w:id="0">
    <w:p w14:paraId="2069934C" w14:textId="77777777" w:rsidR="00F31E39" w:rsidRDefault="00F31E39">
      <w:r>
        <w:continuationSeparator/>
      </w:r>
    </w:p>
  </w:endnote>
  <w:endnote w:type="continuationNotice" w:id="1">
    <w:p w14:paraId="17DC8136" w14:textId="77777777" w:rsidR="00F31E39" w:rsidRDefault="00F3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B4A93" w14:textId="77777777" w:rsidR="00F31E39" w:rsidRDefault="00F31E39">
      <w:r>
        <w:separator/>
      </w:r>
    </w:p>
  </w:footnote>
  <w:footnote w:type="continuationSeparator" w:id="0">
    <w:p w14:paraId="6FF1909F" w14:textId="77777777" w:rsidR="00F31E39" w:rsidRDefault="00F31E39">
      <w:r>
        <w:continuationSeparator/>
      </w:r>
    </w:p>
  </w:footnote>
  <w:footnote w:type="continuationNotice" w:id="1">
    <w:p w14:paraId="1AF58B72" w14:textId="77777777" w:rsidR="00F31E39" w:rsidRDefault="00F31E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4850"/>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0A"/>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E5356"/>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16B60"/>
    <w:rsid w:val="008228CD"/>
    <w:rsid w:val="00822F1C"/>
    <w:rsid w:val="00823FF7"/>
    <w:rsid w:val="008247C0"/>
    <w:rsid w:val="0082501A"/>
    <w:rsid w:val="00825526"/>
    <w:rsid w:val="008261F0"/>
    <w:rsid w:val="008277D7"/>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E711B"/>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0C4"/>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94D28"/>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74C"/>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31E39"/>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surveillance-camera-code-of-prac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elvertoftvillagehall.co.uk/terms-conditions-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elvertoftvillagehall.co.uk/wp-content/uploads/2022/02/DATA-PROTECTION-POLICY-AND-PROCEDURES-May-201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29DF6-F054-4105-AC79-4DF1B49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8</cp:revision>
  <cp:lastPrinted>2018-05-03T11:09:00Z</cp:lastPrinted>
  <dcterms:created xsi:type="dcterms:W3CDTF">2022-02-09T17:25:00Z</dcterms:created>
  <dcterms:modified xsi:type="dcterms:W3CDTF">2022-04-20T15:18:00Z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