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239AA5" w14:textId="58EBE318" w:rsidR="008505E4" w:rsidRPr="008505E4" w:rsidRDefault="00AD1481" w:rsidP="008505E4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27BB8B11" w14:textId="0128122A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</w:t>
      </w:r>
      <w:r w:rsidR="008505E4">
        <w:rPr>
          <w:rFonts w:ascii="Arial" w:hAnsi="Arial" w:cs="Arial"/>
          <w:sz w:val="22"/>
          <w:szCs w:val="22"/>
        </w:rPr>
        <w:t>through observation and conversation with parents/carers,</w:t>
      </w:r>
      <w:r w:rsidRPr="00085A01">
        <w:rPr>
          <w:rFonts w:ascii="Arial" w:hAnsi="Arial" w:cs="Arial"/>
          <w:sz w:val="22"/>
          <w:szCs w:val="22"/>
        </w:rPr>
        <w:t xml:space="preserve">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80A4E5D" w14:textId="408435EF" w:rsidR="00980FC7" w:rsidRPr="008505E4" w:rsidRDefault="004A079D" w:rsidP="008505E4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505E4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8505E4">
        <w:rPr>
          <w:rFonts w:ascii="Arial" w:hAnsi="Arial" w:cs="Arial"/>
          <w:sz w:val="22"/>
          <w:szCs w:val="22"/>
        </w:rPr>
        <w:t>0</w:t>
      </w:r>
      <w:r w:rsidR="00DE12A0" w:rsidRPr="008505E4">
        <w:rPr>
          <w:rFonts w:ascii="Arial" w:hAnsi="Arial" w:cs="Arial"/>
          <w:sz w:val="22"/>
          <w:szCs w:val="22"/>
        </w:rPr>
        <w:t>9.1</w:t>
      </w:r>
      <w:r w:rsidR="00754FD3" w:rsidRPr="008505E4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8505E4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E9EE" w14:textId="77777777" w:rsidR="00B018C5" w:rsidRDefault="00B018C5" w:rsidP="003C7A9F">
      <w:r>
        <w:separator/>
      </w:r>
    </w:p>
  </w:endnote>
  <w:endnote w:type="continuationSeparator" w:id="0">
    <w:p w14:paraId="78CD41DD" w14:textId="77777777" w:rsidR="00B018C5" w:rsidRDefault="00B018C5" w:rsidP="003C7A9F">
      <w:r>
        <w:continuationSeparator/>
      </w:r>
    </w:p>
  </w:endnote>
  <w:endnote w:type="continuationNotice" w:id="1">
    <w:p w14:paraId="3442DE8A" w14:textId="77777777" w:rsidR="00B018C5" w:rsidRDefault="00B01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39D8" w14:textId="77777777" w:rsidR="00B018C5" w:rsidRDefault="00B018C5" w:rsidP="003C7A9F">
      <w:r>
        <w:separator/>
      </w:r>
    </w:p>
  </w:footnote>
  <w:footnote w:type="continuationSeparator" w:id="0">
    <w:p w14:paraId="2274ACBD" w14:textId="77777777" w:rsidR="00B018C5" w:rsidRDefault="00B018C5" w:rsidP="003C7A9F">
      <w:r>
        <w:continuationSeparator/>
      </w:r>
    </w:p>
  </w:footnote>
  <w:footnote w:type="continuationNotice" w:id="1">
    <w:p w14:paraId="15FE18AC" w14:textId="77777777" w:rsidR="00B018C5" w:rsidRDefault="00B01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05E4"/>
    <w:rsid w:val="008529D0"/>
    <w:rsid w:val="00852D62"/>
    <w:rsid w:val="008605C3"/>
    <w:rsid w:val="0086281D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18C5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2E76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74459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97899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4FF4B6C-CFBE-4C47-95A6-2DEE342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1E1D5-A982-4255-8491-19A44870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dc:description/>
  <cp:lastModifiedBy>Jane Frodsham</cp:lastModifiedBy>
  <cp:revision>1</cp:revision>
  <cp:lastPrinted>2022-03-23T11:38:00Z</cp:lastPrinted>
  <dcterms:created xsi:type="dcterms:W3CDTF">2022-02-16T16:15:00Z</dcterms:created>
  <dcterms:modified xsi:type="dcterms:W3CDTF">2022-03-23T14:07:00Z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